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uvg6p26vr9e9" w:id="0"/>
      <w:bookmarkEnd w:id="0"/>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pPr>
      <w:r w:rsidDel="00000000" w:rsidR="00000000" w:rsidRPr="00000000">
        <w:rPr>
          <w:rFonts w:ascii="Arial" w:cs="Arial" w:eastAsia="Arial" w:hAnsi="Arial"/>
          <w:color w:val="000000"/>
          <w:sz w:val="24"/>
          <w:szCs w:val="24"/>
          <w:rtl w:val="0"/>
        </w:rPr>
        <w:t xml:space="preserve">The Framework Prices: </w:t>
      </w:r>
      <w:r w:rsidDel="00000000" w:rsidR="00000000" w:rsidRPr="00000000">
        <w:rPr>
          <w:rtl w:val="0"/>
        </w:rPr>
      </w:r>
    </w:p>
    <w:p w:rsidR="00000000" w:rsidDel="00000000" w:rsidP="00000000" w:rsidRDefault="00000000" w:rsidRPr="00000000" w14:paraId="00000004">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 Off Contract; and</w:t>
      </w:r>
      <w:r w:rsidDel="00000000" w:rsidR="00000000" w:rsidRPr="00000000">
        <w:rPr>
          <w:rtl w:val="0"/>
        </w:rPr>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color w:val="000000"/>
          <w:sz w:val="24"/>
          <w:szCs w:val="24"/>
          <w:rtl w:val="0"/>
        </w:rPr>
        <w:t xml:space="preserve">cannot be increased except as in accordance with this Schedule.</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pPr>
      <w:r w:rsidDel="00000000" w:rsidR="00000000" w:rsidRPr="00000000">
        <w:rPr>
          <w:rFonts w:ascii="Arial" w:cs="Arial" w:eastAsia="Arial" w:hAnsi="Arial"/>
          <w:color w:val="000000"/>
          <w:sz w:val="24"/>
          <w:szCs w:val="24"/>
          <w:rtl w:val="0"/>
        </w:rPr>
        <w:t xml:space="preserve">The Charges:</w:t>
      </w:r>
      <w:r w:rsidDel="00000000" w:rsidR="00000000" w:rsidRPr="00000000">
        <w:rPr>
          <w:rtl w:val="0"/>
        </w:rPr>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r w:rsidDel="00000000" w:rsidR="00000000" w:rsidRPr="00000000">
        <w:rPr>
          <w:rtl w:val="0"/>
        </w:rPr>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and</w:t>
      </w:r>
      <w:r w:rsidDel="00000000" w:rsidR="00000000" w:rsidRPr="00000000">
        <w:rPr>
          <w:rtl w:val="0"/>
        </w:rPr>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color w:val="000000"/>
          <w:sz w:val="24"/>
          <w:szCs w:val="24"/>
          <w:rtl w:val="0"/>
        </w:rPr>
        <w:t xml:space="preserve">shall not be impacted by any change to the Framework Prices. </w:t>
      </w:r>
      <w:r w:rsidDel="00000000" w:rsidR="00000000" w:rsidRPr="00000000">
        <w:rPr>
          <w:rtl w:val="0"/>
        </w:rPr>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1134" w:hanging="504"/>
        <w:jc w:val="both"/>
        <w:rPr/>
      </w:pPr>
      <w:bookmarkStart w:colFirst="0" w:colLast="0" w:name="_heading=h.uxz39xt32u93" w:id="1"/>
      <w:bookmarkEnd w:id="1"/>
      <w:r w:rsidDel="00000000" w:rsidR="00000000" w:rsidRPr="00000000">
        <w:rPr>
          <w:rFonts w:ascii="Arial" w:cs="Arial" w:eastAsia="Arial" w:hAnsi="Arial"/>
          <w:color w:val="000000"/>
          <w:sz w:val="24"/>
          <w:szCs w:val="24"/>
          <w:rtl w:val="0"/>
        </w:rPr>
        <w:t xml:space="preserve">Any variation to the Charges payable under a Call Off Contract must be agreed between the Supplier and the Buyer</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360" w:hanging="360"/>
        <w:jc w:val="both"/>
        <w:rPr>
          <w:rFonts w:ascii="Arial" w:cs="Arial" w:eastAsia="Arial" w:hAnsi="Arial"/>
          <w:sz w:val="24"/>
          <w:szCs w:val="24"/>
        </w:rPr>
      </w:pPr>
      <w:bookmarkStart w:colFirst="0" w:colLast="0" w:name="_heading=h.n4hh3eozk00h" w:id="2"/>
      <w:bookmarkEnd w:id="2"/>
      <w:r w:rsidDel="00000000" w:rsidR="00000000" w:rsidRPr="00000000">
        <w:rPr>
          <w:rFonts w:ascii="Arial" w:cs="Arial" w:eastAsia="Arial" w:hAnsi="Arial"/>
          <w:b w:val="1"/>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 Off Contracts.</w:t>
      </w:r>
      <w:r w:rsidDel="00000000" w:rsidR="00000000" w:rsidRPr="00000000">
        <w:rPr>
          <w:rtl w:val="0"/>
        </w:rPr>
      </w:r>
    </w:p>
    <w:bookmarkStart w:colFirst="0" w:colLast="0" w:name="bookmark=id.wygjrgp5w7ge" w:id="3"/>
    <w:bookmarkEnd w:id="3"/>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syfq2cetu01y" w:id="4"/>
      <w:bookmarkEnd w:id="4"/>
      <w:r w:rsidDel="00000000" w:rsidR="00000000" w:rsidRPr="00000000">
        <w:rPr>
          <w:rFonts w:ascii="Arial" w:cs="Arial" w:eastAsia="Arial" w:hAnsi="Arial"/>
          <w:b w:val="1"/>
          <w:color w:val="000000"/>
          <w:sz w:val="24"/>
          <w:szCs w:val="24"/>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pPr>
      <w:r w:rsidDel="00000000" w:rsidR="00000000" w:rsidRPr="00000000">
        <w:rPr>
          <w:rFonts w:ascii="Arial" w:cs="Arial" w:eastAsia="Arial" w:hAnsi="Arial"/>
          <w:color w:val="000000"/>
          <w:sz w:val="24"/>
          <w:szCs w:val="24"/>
          <w:rtl w:val="0"/>
        </w:rPr>
        <w:t xml:space="preserve">Except as expressly set out in Paragraph 4 below, or otherwise stated in a Call Off Order Form</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the Framework Prices shall include all costs and expenses relating to the provision of Deliverables. No further amounts shall be payable in respect of matters such as:</w:t>
      </w:r>
      <w:r w:rsidDel="00000000" w:rsidR="00000000" w:rsidRPr="00000000">
        <w:rPr>
          <w:rtl w:val="0"/>
        </w:rPr>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color w:val="000000"/>
          <w:sz w:val="24"/>
          <w:szCs w:val="24"/>
          <w:rtl w:val="0"/>
        </w:rPr>
        <w:t xml:space="preserve">incidental expenses such as lodging, document or report reproduction, shipping, desktop or office equipment costs, network or data interchange costs or other telecommunications charges; or</w:t>
      </w:r>
      <w:r w:rsidDel="00000000" w:rsidR="00000000" w:rsidRPr="00000000">
        <w:rPr>
          <w:rtl w:val="0"/>
        </w:rPr>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color w:val="000000"/>
          <w:sz w:val="24"/>
          <w:szCs w:val="24"/>
          <w:rtl w:val="0"/>
        </w:rPr>
        <w:t xml:space="preserve">costs incurred prior to the commencement of any Call Off Contract.</w:t>
      </w:r>
      <w:r w:rsidDel="00000000" w:rsidR="00000000" w:rsidRPr="00000000">
        <w:rPr>
          <w:rtl w:val="0"/>
        </w:rPr>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color w:val="000000"/>
          <w:sz w:val="24"/>
          <w:szCs w:val="24"/>
          <w:rtl w:val="0"/>
        </w:rPr>
        <w:t xml:space="preserve">a Specific Change in Law in accordance with Clause 24;</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color w:val="000000"/>
          <w:sz w:val="24"/>
          <w:szCs w:val="24"/>
          <w:rtl w:val="0"/>
        </w:rPr>
        <w:t xml:space="preserve">a review in accordance with insurance requirements in Clause 13; </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color w:val="000000"/>
          <w:sz w:val="24"/>
          <w:szCs w:val="24"/>
          <w:rtl w:val="0"/>
        </w:rPr>
        <w:t xml:space="preserve">a benchmarking review in accordance with Call Off Schedule 16 (Benchmarking)]</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 and</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color w:val="000000"/>
          <w:sz w:val="24"/>
          <w:szCs w:val="24"/>
          <w:rtl w:val="0"/>
        </w:rPr>
        <w:t xml:space="preserve">indexation, where Annex 1 states that a particular Framework Price or any component is “subject to Indexation” in which event Paragraph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 below shall apply.</w:t>
      </w:r>
      <w:r w:rsidDel="00000000" w:rsidR="00000000" w:rsidRPr="00000000">
        <w:rPr>
          <w:rtl w:val="0"/>
        </w:rPr>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When the Framework Prices are linked to inflation</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pPr>
      <w:r w:rsidDel="00000000" w:rsidR="00000000" w:rsidRPr="00000000">
        <w:rPr>
          <w:rFonts w:ascii="Arial" w:cs="Arial" w:eastAsia="Arial" w:hAnsi="Arial"/>
          <w:color w:val="000000"/>
          <w:sz w:val="24"/>
          <w:szCs w:val="24"/>
          <w:rtl w:val="0"/>
        </w:rPr>
        <w:t xml:space="preserve">Where the Framework Charges are stated to be "subject to Indexation" they shall be adjusted in line with changes in the Service Producer Price Index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PPI") - M7430.  All other costs, expenses, fees and charges shall not be adjusted to take account of any inflation, change to exchange rate, change to interest rate or any other factor or element which might otherwise increase the cost to the Supplier.</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pPr>
      <w:r w:rsidDel="00000000" w:rsidR="00000000" w:rsidRPr="00000000">
        <w:rPr>
          <w:rFonts w:ascii="Arial" w:cs="Arial" w:eastAsia="Arial" w:hAnsi="Arial"/>
          <w:color w:val="000000"/>
          <w:sz w:val="24"/>
          <w:szCs w:val="24"/>
          <w:rtl w:val="0"/>
        </w:rPr>
        <w:t xml:space="preserve">Framework Prices shall not be indexed during the first </w:t>
      </w:r>
      <w:r w:rsidDel="00000000" w:rsidR="00000000" w:rsidRPr="00000000">
        <w:rPr>
          <w:rFonts w:ascii="Arial" w:cs="Arial" w:eastAsia="Arial" w:hAnsi="Arial"/>
          <w:b w:val="1"/>
          <w:color w:val="000000"/>
          <w:sz w:val="24"/>
          <w:szCs w:val="24"/>
          <w:rtl w:val="0"/>
        </w:rPr>
        <w:t xml:space="preserve">2  </w:t>
      </w:r>
      <w:r w:rsidDel="00000000" w:rsidR="00000000" w:rsidRPr="00000000">
        <w:rPr>
          <w:rFonts w:ascii="Arial" w:cs="Arial" w:eastAsia="Arial" w:hAnsi="Arial"/>
          <w:b w:val="1"/>
          <w:sz w:val="24"/>
          <w:szCs w:val="24"/>
          <w:rtl w:val="0"/>
        </w:rPr>
        <w:t xml:space="preserve">years</w:t>
      </w:r>
      <w:r w:rsidDel="00000000" w:rsidR="00000000" w:rsidRPr="00000000">
        <w:rPr>
          <w:rFonts w:ascii="Arial" w:cs="Arial" w:eastAsia="Arial" w:hAnsi="Arial"/>
          <w:color w:val="000000"/>
          <w:sz w:val="24"/>
          <w:szCs w:val="24"/>
          <w:rtl w:val="0"/>
        </w:rPr>
        <w:t xml:space="preserve">  following the Framework Contract Commencement Date.  </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pPr>
      <w:r w:rsidDel="00000000" w:rsidR="00000000" w:rsidRPr="00000000">
        <w:rPr>
          <w:rFonts w:ascii="Arial" w:cs="Arial" w:eastAsia="Arial" w:hAnsi="Arial"/>
          <w:color w:val="000000"/>
          <w:sz w:val="24"/>
          <w:szCs w:val="24"/>
          <w:rtl w:val="0"/>
        </w:rPr>
        <w:t xml:space="preserve">Where Annex 1 states a Framework Price is subject to Indexation then it will be indexed on the date which is </w:t>
      </w:r>
      <w:r w:rsidDel="00000000" w:rsidR="00000000" w:rsidRPr="00000000">
        <w:rPr>
          <w:rFonts w:ascii="Arial" w:cs="Arial" w:eastAsia="Arial" w:hAnsi="Arial"/>
          <w:b w:val="1"/>
          <w:sz w:val="24"/>
          <w:szCs w:val="24"/>
          <w:rtl w:val="0"/>
        </w:rPr>
        <w:t xml:space="preserve">two</w:t>
      </w:r>
      <w:r w:rsidDel="00000000" w:rsidR="00000000" w:rsidRPr="00000000">
        <w:rPr>
          <w:rFonts w:ascii="Arial" w:cs="Arial" w:eastAsia="Arial" w:hAnsi="Arial"/>
          <w:color w:val="000000"/>
          <w:sz w:val="24"/>
          <w:szCs w:val="24"/>
          <w:rtl w:val="0"/>
        </w:rPr>
        <w:t xml:space="preserve"> years after the Framework Commencement Date to reflect the percentage change in the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PPI since the Framework Commencement Date.  They shall be indexed on each following yearly anniversary to reflect the percentage change in the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PPI since the previous change.</w:t>
      </w: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pPr>
      <w:r w:rsidDel="00000000" w:rsidR="00000000" w:rsidRPr="00000000">
        <w:rPr>
          <w:rFonts w:ascii="Arial" w:cs="Arial" w:eastAsia="Arial" w:hAnsi="Arial"/>
          <w:color w:val="000000"/>
          <w:sz w:val="24"/>
          <w:szCs w:val="24"/>
          <w:rtl w:val="0"/>
        </w:rPr>
        <w:t xml:space="preserve">Where the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PPI Index is:</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color w:val="000000"/>
          <w:sz w:val="24"/>
          <w:szCs w:val="24"/>
          <w:rtl w:val="0"/>
        </w:rPr>
        <w:t xml:space="preserve">used to carry out an indexation calculation but is then updated (for example due to it being provisional) then the indexation calculation shall also be updated unless C</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S and the Supplier agree otherwise; </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color w:val="000000"/>
          <w:sz w:val="24"/>
          <w:szCs w:val="24"/>
          <w:rtl w:val="0"/>
        </w:rPr>
        <w:t xml:space="preserve">is no longer published, CCS and the Supplier shall agree a fair and reasonable replacement that will have substantially the same effect.</w:t>
      </w:r>
      <w:r w:rsidDel="00000000" w:rsidR="00000000" w:rsidRPr="00000000">
        <w:rPr>
          <w:rtl w:val="0"/>
        </w:rPr>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When you will be reimbursed for travel and subsistence</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pPr>
      <w:r w:rsidDel="00000000" w:rsidR="00000000" w:rsidRPr="00000000">
        <w:rPr>
          <w:rFonts w:ascii="Arial" w:cs="Arial" w:eastAsia="Arial" w:hAnsi="Arial"/>
          <w:color w:val="000000"/>
          <w:sz w:val="24"/>
          <w:szCs w:val="24"/>
          <w:rtl w:val="0"/>
        </w:rPr>
        <w:t xml:space="preserve">Expenses shall only be recoverable where:</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color w:val="000000"/>
          <w:sz w:val="24"/>
          <w:szCs w:val="24"/>
          <w:rtl w:val="0"/>
        </w:rPr>
        <w:t xml:space="preserve">the Order Form states that recovery is permitted; and</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jc w:val="both"/>
        <w:rPr>
          <w:rFonts w:ascii="Arial" w:cs="Arial" w:eastAsia="Arial" w:hAnsi="Arial"/>
        </w:rPr>
      </w:pPr>
      <w:r w:rsidDel="00000000" w:rsidR="00000000" w:rsidRPr="00000000">
        <w:rPr>
          <w:rFonts w:ascii="Arial" w:cs="Arial" w:eastAsia="Arial" w:hAnsi="Arial"/>
          <w:sz w:val="24"/>
          <w:szCs w:val="24"/>
          <w:rtl w:val="0"/>
        </w:rPr>
        <w:t xml:space="preserve">they are Reimbursable Expenses in accordance with section 19 of Framework Schedule 1 (Specification) and are supported by Supporting Documentation.</w:t>
      </w:r>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pPr>
      <w:bookmarkStart w:colFirst="0" w:colLast="0" w:name="_heading=h.9qn3u5h7xci0" w:id="5"/>
      <w:bookmarkEnd w:id="5"/>
      <w:r w:rsidDel="00000000" w:rsidR="00000000" w:rsidRPr="00000000">
        <w:rPr>
          <w:rFonts w:ascii="Arial" w:cs="Arial" w:eastAsia="Arial" w:hAnsi="Arial"/>
          <w:color w:val="000000"/>
          <w:sz w:val="24"/>
          <w:szCs w:val="24"/>
          <w:rtl w:val="0"/>
        </w:rPr>
        <w:t xml:space="preserve">The Buyer shall provide a copy of their current expenses policy to the Supplier upon request.</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w:cs="Arial" w:eastAsia="Arial" w:hAnsi="Arial"/>
          <w:b w:val="1"/>
          <w:smallCaps w:val="1"/>
          <w:color w:val="00000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jc w:val="both"/>
        <w:rPr>
          <w:rFonts w:ascii="Arial" w:cs="Arial" w:eastAsia="Arial" w:hAnsi="Arial"/>
          <w:b w:val="1"/>
          <w:sz w:val="36"/>
          <w:szCs w:val="36"/>
        </w:rPr>
      </w:pPr>
      <w:bookmarkStart w:colFirst="0" w:colLast="0" w:name="_heading=h.xkaxletl5iz2" w:id="6"/>
      <w:bookmarkEnd w:id="6"/>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7">
      <w:pPr>
        <w:spacing w:line="240" w:lineRule="auto"/>
        <w:rPr>
          <w:rFonts w:ascii="Arial" w:cs="Arial" w:eastAsia="Arial" w:hAnsi="Arial"/>
          <w:sz w:val="24"/>
          <w:szCs w:val="24"/>
          <w:highlight w:val="yellow"/>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Fonts w:ascii="Arial" w:cs="Arial" w:eastAsia="Arial" w:hAnsi="Arial"/>
          <w:b w:val="1"/>
          <w:rtl w:val="0"/>
        </w:rPr>
        <w:t xml:space="preserve">Redacted under FOIA section 43, Commercial Interests</w:t>
      </w:r>
      <w:r w:rsidDel="00000000" w:rsidR="00000000" w:rsidRPr="00000000">
        <w:rPr>
          <w:rtl w:val="0"/>
        </w:rPr>
      </w:r>
    </w:p>
    <w:p w:rsidR="00000000" w:rsidDel="00000000" w:rsidP="00000000" w:rsidRDefault="00000000" w:rsidRPr="00000000" w14:paraId="00000028">
      <w:pPr>
        <w:jc w:val="both"/>
        <w:rPr>
          <w:rFonts w:ascii="Arial" w:cs="Arial" w:eastAsia="Arial" w:hAnsi="Arial"/>
          <w:b w:val="1"/>
          <w:sz w:val="24"/>
          <w:szCs w:val="24"/>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StIt7hnVHXJ/bnC3+/DMrE80Fg==">CgMxLjAyDmgudXZnNnAyNnZyOWU5Mg5oLnV4ejM5eHQzMnU5MzIOaC5uNGhoM2VvemswMGgyD2lkLnd5Z2pyZ3A1dzdnZTIOaC5zeWZxMmNldHUwMXkyDmguOXFuM3U1aDd4Y2kwMg5oLnhrYXhsZXRsNWl6MjgAciExbzExMUVsV0YySEh6UFoxNTVHSmI5dktjRXFHeDJveHE=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